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2692E">
      <w:pPr>
        <w:pStyle w:val="3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Титульний аркуш Повідомлення</w:t>
      </w:r>
      <w:r>
        <w:rPr>
          <w:rFonts w:eastAsia="Times New Roman"/>
          <w:color w:val="000000"/>
        </w:rPr>
        <w:br/>
        <w:t>(Повідомлення про інформацію)</w:t>
      </w:r>
    </w:p>
    <w:tbl>
      <w:tblPr>
        <w:tblW w:w="25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18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52692E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4319"/>
        <w:gridCol w:w="180"/>
        <w:gridCol w:w="821"/>
        <w:gridCol w:w="180"/>
        <w:gridCol w:w="4476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02.05.2019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 реєстрації емітентом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2/05490055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(вихідний реєстраційний номер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eastAsia="Times New Roman"/>
                <w:color w:val="000000"/>
              </w:rPr>
              <w:t xml:space="preserve">26, зареєстрованого в Міністерстві юстиції України 24 грудня 2013 року за № 2180/24712 (із змінами)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Волошин Вячеслав Вiталiйович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</w:tbl>
    <w:p w:rsidR="00000000" w:rsidRDefault="0052692E">
      <w:pPr>
        <w:rPr>
          <w:rFonts w:eastAsia="Times New Roman"/>
          <w:color w:val="000000"/>
        </w:rPr>
      </w:pPr>
    </w:p>
    <w:p w:rsidR="00000000" w:rsidRDefault="0052692E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52692E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"ВЕСЕЛИНIВСЬКА РОДЮЧIСТЬ"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</w:t>
            </w:r>
            <w:r>
              <w:rPr>
                <w:rFonts w:eastAsia="Times New Roman"/>
                <w:color w:val="000000"/>
              </w:rPr>
              <w:t>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акціонерне товариство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57001, Миколаївська обл., смт. Веселинове, вул. Одеська, 84 В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Ідентифікаційний код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05490055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(05163)91475 (05163)91475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Адреса електронної пошти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info@veselrad.pat.ua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</w:t>
            </w:r>
            <w:r>
              <w:rPr>
                <w:rFonts w:eastAsia="Times New Roman"/>
                <w:color w:val="000000"/>
              </w:rPr>
              <w:t>нку, особи, яка здійснює оприлюднення регульованої інформації від імені учасника фондового ринку.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Державна установа "Агентство з розвитку iнфраструктури фондового ринку України"</w:t>
            </w:r>
            <w:r>
              <w:rPr>
                <w:rFonts w:eastAsia="Times New Roman"/>
                <w:color w:val="000000"/>
              </w:rPr>
              <w:br/>
              <w:t>21676262</w:t>
            </w:r>
            <w:r>
              <w:rPr>
                <w:rFonts w:eastAsia="Times New Roman"/>
                <w:color w:val="000000"/>
              </w:rPr>
              <w:br/>
              <w:t xml:space="preserve">УКРАЇНА </w:t>
            </w:r>
            <w:r>
              <w:rPr>
                <w:rFonts w:eastAsia="Times New Roman"/>
                <w:color w:val="000000"/>
              </w:rPr>
              <w:br/>
              <w:t>DR/00001/APA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52692E">
      <w:pPr>
        <w:rPr>
          <w:rFonts w:eastAsia="Times New Roman"/>
          <w:color w:val="000000"/>
        </w:rPr>
      </w:pPr>
    </w:p>
    <w:p w:rsidR="00000000" w:rsidRDefault="0052692E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</w:t>
      </w:r>
      <w:r>
        <w:rPr>
          <w:rFonts w:eastAsia="Times New Roman"/>
          <w:color w:val="000000"/>
        </w:rPr>
        <w:t xml:space="preserve">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5"/>
        <w:gridCol w:w="1600"/>
        <w:gridCol w:w="180"/>
        <w:gridCol w:w="12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veselrad.pat.ua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02.05.2019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52692E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000000" w:rsidRDefault="0052692E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Відомості про зміну складу посадових осіб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155"/>
        <w:gridCol w:w="1407"/>
        <w:gridCol w:w="2905"/>
        <w:gridCol w:w="5900"/>
        <w:gridCol w:w="1408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вчинення дії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Посада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Ідентифікаційний код юридичної особи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Розмір частки в статутному капіталі емітента (у відсотках)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Наглядової ради (Акцiонер)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Волошин Вiталiй Вiталiйович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37.66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Згiдно Рiшення Загальних Зборiв Акцiонерiв вiд 30 квiтня 2019 р. ( Протокол б/н Загальних Зборiв Акцiонерiв вiд 30.04.2019 року.) припинено повноваження Голови Наглядової Ради ПрАТ "Веселинiвська родючiсть" Волошина Вiталiя Вiталiйовича (акцiонера) у зв'яз</w:t>
            </w:r>
            <w:r>
              <w:rPr>
                <w:rFonts w:eastAsia="Times New Roman"/>
                <w:color w:val="000000"/>
              </w:rPr>
              <w:t>ку iз закiнченням термiну повноважень. Особа не надала згоди на розкриття паспортних даних. Володiє часткою 37.668386 % в статутному капiталi Товариства. Непогашеної судимостi за корисливi та посадовi злочини немає. Загальний строк, протягом якого особа пе</w:t>
            </w:r>
            <w:r>
              <w:rPr>
                <w:rFonts w:eastAsia="Times New Roman"/>
                <w:color w:val="000000"/>
              </w:rPr>
              <w:t xml:space="preserve">ребувала на посадi: 3 роки. Пiдстава: Протокол Загальних Зборiв акцiонерiв б/н вiд 30.04.2019 р.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 (акцiонер)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Валинчик Алла Олексiївна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0.057034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Згiдно Рiшення Загальних Зборiв Акцiонерiв вiд 30 квiтня 2019 р. ( Протокол б/н Загальних Зборiв Акцiонерiв вiд 30.04.2019 року.) припинено повноваження Члена Наглядової Ради ПрАТ "Веселинiвська родючiсть" Валинчик Алли Олексiiвни у зв'язку iз закiнченням </w:t>
            </w:r>
            <w:r>
              <w:rPr>
                <w:rFonts w:eastAsia="Times New Roman"/>
                <w:color w:val="000000"/>
              </w:rPr>
              <w:t>термiну повноважень. Особа не надала згоди на розкриття паспортних даних. Володiє часткою 0.057034 % в статутному капiталi Товариства. Непогашеної судимостi за корисливi та посадовi злочини немає. Загальний строк, протягом якого особа перебувала на посадi:</w:t>
            </w:r>
            <w:r>
              <w:rPr>
                <w:rFonts w:eastAsia="Times New Roman"/>
                <w:color w:val="000000"/>
              </w:rPr>
              <w:t xml:space="preserve"> 3 роки. Пiдстава: Протокол Загальних Зборiв акцiонерiв вiд 30.04.2019 р. б/н.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 (акцiонер)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Маковеєнко Лiдiя Володимирiвна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1.201792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Згiдно Рiшення Загальних Зборiв Акцiонерiв вiд 30 квiвтня 2019 р. ( Протокол б/н Загальних Зборiв Акцiонерiв вiд 30.04.2019 року.) припинено повноваження Члена Наглядової Ради ПрАТ "Веселинiвська родючiсть" Маковеєнко Лiдiї Володимирiвни (акцiонер) у зв'яз</w:t>
            </w:r>
            <w:r>
              <w:rPr>
                <w:rFonts w:eastAsia="Times New Roman"/>
                <w:color w:val="000000"/>
              </w:rPr>
              <w:t>ку iз закiнченням термiну повноважень. Особа не надала згоди на розкриття паспортних даних. Володiє часткою 1,201792 % в статутному капiталi Товариства. Непогашеної судимостi за корисливi та посадовi злочини немає. Загальний строк, протягом якого особа пер</w:t>
            </w:r>
            <w:r>
              <w:rPr>
                <w:rFonts w:eastAsia="Times New Roman"/>
                <w:color w:val="000000"/>
              </w:rPr>
              <w:t>ебувала на посадi: 3 роки. Пiдстава: Протокол Загальних зборiв акцiонерiв вiд 30.04.2019 р. б/н.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Ревiзор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Павлiшина Ганна Анатолiївна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0.057034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Згiдно Рiшення Загальних Зборiв Акцiонерiв вiд 30 квiтня 2019 р. ( Протокол б/н Загальних Зборiв Акцiонерiв вiд 30.04.2019 року). припинено повноваження Ревiзора ПрАТ "Веселинiвська родючiсть" Павлiшина Ганну Анатолiївну у зв'язку iз закiнченням термiну по</w:t>
            </w:r>
            <w:r>
              <w:rPr>
                <w:rFonts w:eastAsia="Times New Roman"/>
                <w:color w:val="000000"/>
              </w:rPr>
              <w:t>вноважень. Особа не надала згоди на розкриття паспортних даних. Володiє часткою 0,057034 % в статутному капiталi Товариства. Непогашеної судимостi за корисливi та посадовi злочини немає. Загальний строк, протягом якого особа перебувала на посадi: 3 роки. П</w:t>
            </w:r>
            <w:r>
              <w:rPr>
                <w:rFonts w:eastAsia="Times New Roman"/>
                <w:color w:val="000000"/>
              </w:rPr>
              <w:t>iдстава: Протокол загальних зборiв акцiонерiв вiд 30.04.2019 р. б/н.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Волошин Вiталiй Вiталiйович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37.66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Згiдно Рiшення Загальних Зборiв Акцiонерiв вiд 30.04.2019 р. на посаду Голови Наглядової Ради ПрАТ "Веселинiвська родючiсть" обрано Волошина Вiталiя Вiталiйовича (акцiонер). Протокол б/н загальних зборiв акцiонерiв вiд 30.04.2019 року. Особа не надала згод</w:t>
            </w:r>
            <w:r>
              <w:rPr>
                <w:rFonts w:eastAsia="Times New Roman"/>
                <w:color w:val="000000"/>
              </w:rPr>
              <w:t>и на розкриття паспортних даних. Акцiями Товариства володiє - 37.668386%. Непогашеної судимостi за корисливi та посадовi злочини не має. Строк, на який призначено особу: 3 роки. Iншi посади, якi обiймала ця особа протягом останнiх п'яти рокiв: Голова НР Пр</w:t>
            </w:r>
            <w:r>
              <w:rPr>
                <w:rFonts w:eastAsia="Times New Roman"/>
                <w:color w:val="000000"/>
              </w:rPr>
              <w:t>АТ "Веселинiвська родючiсть". Причина прийняття цього рiшення - вакантнiсть посади. Пiдстава: Протокол Загальних зборiв акцiонерiв вiд 30.04.2019 р. б/н.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Валинчик Алла Олексiївна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0.057034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Згiдно Рiшення Загальних Зборiв Акцiонерiв вiд 30.04.2019 р. на посаду Члена Наглядової Ради ПрАТ "Веселинiвська родючiсть" обрано Валинчик Аллу Олексiївну(акцiонер). Протокол б/н загальних зборiв акцiонерiв </w:t>
            </w:r>
            <w:r>
              <w:rPr>
                <w:rFonts w:eastAsia="Times New Roman"/>
                <w:color w:val="000000"/>
              </w:rPr>
              <w:t>вiд 30.04.2019 року . Особа не надала згоди на розкриття паспортних даних. Акцiями Товариства володiє - 0,057034%. Непогашеної судимостi за корисливi та посадовi злочини не має. Строк, на який призначено особу: 3 роки. Iншi посади, якi обiймала ця особа пр</w:t>
            </w:r>
            <w:r>
              <w:rPr>
                <w:rFonts w:eastAsia="Times New Roman"/>
                <w:color w:val="000000"/>
              </w:rPr>
              <w:t>отягом останнiх п'яти рокiв: Член НР ПрАТ "Веселинiвська родючiсть". Причина прийняття цього рiшення - вакантнiсть посади. Пiдстава: Протокол Загальних зборiв акцiонерiв вiд 30.04.2019 р. б/н.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 (акцiонер)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Ма</w:t>
            </w:r>
            <w:r>
              <w:rPr>
                <w:rFonts w:eastAsia="Times New Roman"/>
                <w:color w:val="000000"/>
              </w:rPr>
              <w:t>ковеєнко Лiдiя Володимирiвна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1.201792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Згiдно Рiшення Зага</w:t>
            </w:r>
            <w:r>
              <w:rPr>
                <w:rFonts w:eastAsia="Times New Roman"/>
                <w:color w:val="000000"/>
              </w:rPr>
              <w:t>льних Зборiв Акцiонерiв вiд 30.04.2019 р. на посаду Члена Наглядової Ради ПрАТ "Веселинiвська родючiсть" обрано Маковеєнко Лiдiю Володимирiвну(акцiонер). Протокол б/н загальних зборiв акцiонерiв вiд 30.04.2019 року . Особа не надала згоди на розкриття пасп</w:t>
            </w:r>
            <w:r>
              <w:rPr>
                <w:rFonts w:eastAsia="Times New Roman"/>
                <w:color w:val="000000"/>
              </w:rPr>
              <w:t>ортних даних. Акцiями Товариства володiє - 1,201792%. Непогашеної судимостi за корисливi та посадовi злочини не має. Строк, на який призначено особу: 3 роки. Iншi посади, якi обiймала ця особа протягом останнiх п'яти рокiв: Член НР ПрАТ "Веселинiвська родю</w:t>
            </w:r>
            <w:r>
              <w:rPr>
                <w:rFonts w:eastAsia="Times New Roman"/>
                <w:color w:val="000000"/>
              </w:rPr>
              <w:t>чiсть". Причина прийняття цього рiшення - вакантнiсть посади. Пiдстава: Протокол Загальних зборiв акцiонерiв вiд 30.04.2019 р. б/н.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Ревiзор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Павлiшина Ганна Анатолiївна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0.057034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52692E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Згiдно Рiшення Загальних Зборiв Акцiонерiв вiд 30.04.2019 р. на посаду Ревiзор ПрАТ "Веселинiвська родючiсть" обрано Павлiшина Ганну Анатолiївну. Протокол б/н загальних зборiв акцiонерiв вiд 30.04.2019 року . Особа не надала згоди на розкриття паспортних д</w:t>
            </w:r>
            <w:r>
              <w:rPr>
                <w:rFonts w:eastAsia="Times New Roman"/>
                <w:color w:val="000000"/>
              </w:rPr>
              <w:t>аних. Акцiями Товариства володiє - 0,057034%. Непогашеної судимостi за корисливi та посадовi злочини не має. Строк, на який призначено особу: 3 роки. Iншi посади, якi обiймала ця особа протягом останнiх п'яти рокiв: працiвник ПрАТ "Веселинiвська родючiсть"</w:t>
            </w:r>
            <w:r>
              <w:rPr>
                <w:rFonts w:eastAsia="Times New Roman"/>
                <w:color w:val="000000"/>
              </w:rPr>
              <w:t>, Ревiзор ПрАТ "Веселинiвська родючiсть". Причина прийняття цього рiшення - вакантнiсть посади. Пiдстава: Протокол Загальних зборiв акцiонерiв вiд 30.04.2019 р. б/н.</w:t>
            </w:r>
          </w:p>
        </w:tc>
      </w:tr>
    </w:tbl>
    <w:p w:rsidR="0052692E" w:rsidRDefault="0052692E">
      <w:pPr>
        <w:rPr>
          <w:rFonts w:eastAsia="Times New Roman"/>
        </w:rPr>
      </w:pPr>
    </w:p>
    <w:sectPr w:rsidR="0052692E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5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81024"/>
    <w:rsid w:val="0052692E"/>
    <w:rsid w:val="008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5152</Words>
  <Characters>2937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2019-05-02T14:08:00Z</dcterms:created>
  <dcterms:modified xsi:type="dcterms:W3CDTF">2019-05-02T14:08:00Z</dcterms:modified>
</cp:coreProperties>
</file>